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b/>
          <w:bCs/>
          <w:color w:val="000000"/>
          <w:sz w:val="28"/>
          <w:szCs w:val="20"/>
          <w:lang w:eastAsia="ru-RU"/>
        </w:rPr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0"/>
          <w:lang w:eastAsia="ru-RU"/>
        </w:rPr>
        <w:t xml:space="preserve">ПАМЯТКА 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0"/>
          <w:lang w:eastAsia="ru-RU"/>
        </w:rPr>
      </w:r>
    </w:p>
    <w:p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b/>
          <w:bCs/>
          <w:color w:val="000000"/>
          <w:sz w:val="28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0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0"/>
          <w:lang w:eastAsia="ru-RU"/>
        </w:rPr>
        <w:t xml:space="preserve">битуриенту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0"/>
          <w:lang w:eastAsia="ru-RU"/>
        </w:rPr>
        <w:t xml:space="preserve">,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0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0"/>
          <w:lang w:eastAsia="ru-RU"/>
        </w:rPr>
        <w:t xml:space="preserve">поступающему на 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0"/>
          <w:lang w:eastAsia="ru-RU"/>
        </w:rPr>
        <w:t xml:space="preserve">целевое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0"/>
          <w:lang w:eastAsia="ru-RU"/>
        </w:rPr>
        <w:t xml:space="preserve"> обучение 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0"/>
          <w:lang w:eastAsia="ru-RU"/>
        </w:rPr>
      </w:r>
    </w:p>
    <w:p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b/>
          <w:bCs/>
          <w:color w:val="000000"/>
          <w:sz w:val="28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0"/>
          <w:lang w:eastAsia="ru-RU"/>
        </w:rPr>
        <w:t xml:space="preserve">по образовательным программам высшего образования 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0"/>
          <w:lang w:eastAsia="ru-RU"/>
        </w:rPr>
      </w:r>
    </w:p>
    <w:p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0"/>
          <w:lang w:eastAsia="ru-RU"/>
        </w:rPr>
        <w:t xml:space="preserve">на места в пределах целевой квоты</w:t>
      </w:r>
      <w:r>
        <w:rPr>
          <w:rFonts w:ascii="Times New Roman" w:hAnsi="Times New Roman" w:eastAsia="Times New Roman" w:cs="Times New Roman"/>
          <w:color w:val="000000"/>
          <w:sz w:val="28"/>
          <w:szCs w:val="20"/>
          <w:lang w:eastAsia="ru-RU"/>
        </w:rPr>
      </w:r>
    </w:p>
    <w:p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/>
          <w:bCs/>
          <w:color w:val="000000"/>
          <w:sz w:val="28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0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0"/>
          <w:lang w:eastAsia="ru-RU"/>
        </w:rPr>
      </w:r>
    </w:p>
    <w:p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0"/>
          <w:lang w:eastAsia="ru-RU"/>
        </w:rPr>
        <w:t xml:space="preserve">Что такое целевое обучение?</w:t>
      </w:r>
      <w:r>
        <w:rPr>
          <w:rFonts w:ascii="Times New Roman" w:hAnsi="Times New Roman" w:eastAsia="Times New Roman" w:cs="Times New Roman"/>
          <w:color w:val="000000"/>
          <w:sz w:val="28"/>
          <w:szCs w:val="20"/>
          <w:lang w:eastAsia="ru-RU"/>
        </w:rPr>
      </w:r>
    </w:p>
    <w:p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0"/>
          <w:lang w:eastAsia="ru-RU"/>
        </w:rPr>
        <w:t xml:space="preserve">Целевое</w:t>
      </w:r>
      <w:r>
        <w:rPr>
          <w:rFonts w:ascii="Times New Roman" w:hAnsi="Times New Roman" w:eastAsia="Times New Roman" w:cs="Times New Roman"/>
          <w:color w:val="000000"/>
          <w:sz w:val="28"/>
          <w:szCs w:val="20"/>
          <w:lang w:eastAsia="ru-RU"/>
        </w:rPr>
        <w:t xml:space="preserve"> обучение – это обучение в вузе по договору о целевом обучении с заказчиком целевого обучения. </w:t>
      </w:r>
      <w:r>
        <w:rPr>
          <w:rFonts w:ascii="Times New Roman" w:hAnsi="Times New Roman" w:eastAsia="Times New Roman" w:cs="Times New Roman"/>
          <w:color w:val="000000"/>
          <w:sz w:val="28"/>
          <w:szCs w:val="20"/>
          <w:lang w:eastAsia="ru-RU"/>
        </w:rPr>
      </w:r>
    </w:p>
    <w:p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0"/>
          <w:lang w:eastAsia="ru-RU"/>
        </w:rPr>
        <w:t xml:space="preserve">Если гражданин заключил такой договор, то: </w:t>
      </w:r>
      <w:r>
        <w:rPr>
          <w:rFonts w:ascii="Times New Roman" w:hAnsi="Times New Roman" w:eastAsia="Times New Roman" w:cs="Times New Roman"/>
          <w:color w:val="000000"/>
          <w:sz w:val="28"/>
          <w:szCs w:val="20"/>
          <w:lang w:eastAsia="ru-RU"/>
        </w:rPr>
      </w:r>
    </w:p>
    <w:p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0"/>
          <w:lang w:eastAsia="ru-RU"/>
        </w:rPr>
        <w:t xml:space="preserve">заказчик обязан оказывать </w:t>
      </w:r>
      <w:r>
        <w:rPr>
          <w:rFonts w:ascii="Times New Roman" w:hAnsi="Times New Roman" w:eastAsia="Times New Roman" w:cs="Times New Roman"/>
          <w:color w:val="000000"/>
          <w:sz w:val="28"/>
          <w:szCs w:val="20"/>
          <w:lang w:eastAsia="ru-RU"/>
        </w:rPr>
        <w:t xml:space="preserve">обучающемуся</w:t>
      </w:r>
      <w:r>
        <w:rPr>
          <w:rFonts w:ascii="Times New Roman" w:hAnsi="Times New Roman" w:eastAsia="Times New Roman" w:cs="Times New Roman"/>
          <w:color w:val="000000"/>
          <w:sz w:val="28"/>
          <w:szCs w:val="20"/>
          <w:lang w:eastAsia="ru-RU"/>
        </w:rPr>
        <w:t xml:space="preserve"> меры поддержки в период обучения и после окончания обучения трудоустроить его; </w:t>
      </w:r>
      <w:r>
        <w:rPr>
          <w:rFonts w:ascii="Times New Roman" w:hAnsi="Times New Roman" w:eastAsia="Times New Roman" w:cs="Times New Roman"/>
          <w:color w:val="000000"/>
          <w:sz w:val="28"/>
          <w:szCs w:val="20"/>
          <w:lang w:eastAsia="ru-RU"/>
        </w:rPr>
      </w:r>
    </w:p>
    <w:p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0"/>
          <w:lang w:eastAsia="ru-RU"/>
        </w:rPr>
        <w:t xml:space="preserve">гражданин обязан освоить образовательную программу и отработать от 3 до 5 лет.</w:t>
      </w:r>
      <w:r>
        <w:rPr>
          <w:rFonts w:ascii="Times New Roman" w:hAnsi="Times New Roman" w:eastAsia="Times New Roman" w:cs="Times New Roman"/>
          <w:color w:val="000000"/>
          <w:sz w:val="28"/>
          <w:szCs w:val="20"/>
          <w:lang w:eastAsia="ru-RU"/>
        </w:rPr>
      </w:r>
    </w:p>
    <w:p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/>
          <w:bCs/>
          <w:color w:val="000000"/>
          <w:sz w:val="28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0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0"/>
          <w:lang w:eastAsia="ru-RU"/>
        </w:rPr>
      </w:r>
    </w:p>
    <w:p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0"/>
          <w:lang w:eastAsia="ru-RU"/>
        </w:rPr>
        <w:t xml:space="preserve">Как поступить на места в пределах целевой квоты?</w:t>
      </w:r>
      <w:r>
        <w:rPr>
          <w:rFonts w:ascii="Times New Roman" w:hAnsi="Times New Roman" w:eastAsia="Times New Roman" w:cs="Times New Roman"/>
          <w:color w:val="000000"/>
          <w:sz w:val="28"/>
          <w:szCs w:val="20"/>
          <w:lang w:eastAsia="ru-RU"/>
        </w:rPr>
      </w:r>
    </w:p>
    <w:p>
      <w:pPr>
        <w:shd w:val="clear" w:color="auto" w:fill="ffffff"/>
        <w:spacing w:after="12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0"/>
          <w:lang w:eastAsia="ru-RU"/>
        </w:rPr>
        <w:t xml:space="preserve">Поступление на места в пределах целевой квоты – это особый формат приема в вуз, который позволяет поступить на обучение по отдельному конкурсу. </w:t>
      </w:r>
      <w:r>
        <w:rPr>
          <w:rFonts w:ascii="Times New Roman" w:hAnsi="Times New Roman" w:eastAsia="Times New Roman" w:cs="Times New Roman"/>
          <w:color w:val="000000"/>
          <w:sz w:val="28"/>
          <w:szCs w:val="20"/>
          <w:lang w:eastAsia="ru-RU"/>
        </w:rPr>
      </w:r>
    </w:p>
    <w:p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0"/>
          <w:lang w:eastAsia="ru-RU"/>
        </w:rPr>
        <w:t xml:space="preserve">Гражданин должен</w:t>
      </w:r>
      <w:r>
        <w:rPr>
          <w:rFonts w:ascii="Times New Roman" w:hAnsi="Times New Roman" w:eastAsia="Times New Roman" w:cs="Times New Roman"/>
          <w:color w:val="000000"/>
          <w:sz w:val="28"/>
          <w:szCs w:val="20"/>
          <w:lang w:eastAsia="ru-RU"/>
        </w:rPr>
        <w:t xml:space="preserve">:</w:t>
      </w:r>
      <w:r>
        <w:rPr>
          <w:rFonts w:ascii="Times New Roman" w:hAnsi="Times New Roman" w:eastAsia="Times New Roman" w:cs="Times New Roman"/>
          <w:color w:val="000000"/>
          <w:sz w:val="28"/>
          <w:szCs w:val="20"/>
          <w:lang w:eastAsia="ru-RU"/>
        </w:rPr>
      </w:r>
    </w:p>
    <w:p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0"/>
          <w:lang w:eastAsia="ru-RU"/>
        </w:rPr>
        <w:t xml:space="preserve">изучить полный перечень предложений</w:t>
      </w:r>
      <w:r>
        <w:rPr>
          <w:rFonts w:ascii="Times New Roman" w:hAnsi="Times New Roman" w:eastAsia="Times New Roman" w:cs="Times New Roman"/>
          <w:color w:val="000000"/>
          <w:sz w:val="28"/>
          <w:szCs w:val="20"/>
          <w:lang w:eastAsia="ru-RU"/>
        </w:rPr>
        <w:t xml:space="preserve"> заказчиков</w:t>
      </w:r>
      <w:r>
        <w:rPr>
          <w:rFonts w:ascii="Times New Roman" w:hAnsi="Times New Roman" w:eastAsia="Times New Roman" w:cs="Times New Roman"/>
          <w:color w:val="000000"/>
          <w:sz w:val="28"/>
          <w:szCs w:val="20"/>
          <w:lang w:eastAsia="ru-RU"/>
        </w:rPr>
        <w:t xml:space="preserve"> на Единой цифровой платформе в сфере занятости и трудовых отношений «</w:t>
      </w:r>
      <w:hyperlink r:id="rId9" w:tooltip="https://trudvsem.ru/" w:history="1">
        <w:r>
          <w:rPr>
            <w:rFonts w:ascii="Times New Roman" w:hAnsi="Times New Roman" w:eastAsia="Times New Roman" w:cs="Times New Roman"/>
            <w:color w:val="0080ff"/>
            <w:sz w:val="28"/>
            <w:szCs w:val="20"/>
            <w:u w:val="single"/>
            <w:lang w:eastAsia="ru-RU"/>
          </w:rPr>
          <w:t xml:space="preserve">Работа в России</w:t>
        </w:r>
      </w:hyperlink>
      <w:r>
        <w:rPr>
          <w:rFonts w:ascii="Times New Roman" w:hAnsi="Times New Roman" w:eastAsia="Times New Roman" w:cs="Times New Roman"/>
          <w:color w:val="000000"/>
          <w:sz w:val="28"/>
          <w:szCs w:val="20"/>
          <w:lang w:eastAsia="ru-RU"/>
        </w:rPr>
        <w:t xml:space="preserve">»</w:t>
      </w:r>
      <w:r>
        <w:rPr>
          <w:rFonts w:ascii="Times New Roman" w:hAnsi="Times New Roman" w:eastAsia="Times New Roman" w:cs="Times New Roman"/>
          <w:color w:val="000000"/>
          <w:sz w:val="28"/>
          <w:szCs w:val="20"/>
          <w:lang w:eastAsia="ru-RU"/>
        </w:rPr>
        <w:t xml:space="preserve"> (далее - ЕЦП «Работа в России»)</w:t>
      </w:r>
      <w:r>
        <w:rPr>
          <w:rFonts w:ascii="Times New Roman" w:hAnsi="Times New Roman" w:eastAsia="Times New Roman" w:cs="Times New Roman"/>
          <w:color w:val="000000"/>
          <w:sz w:val="28"/>
          <w:szCs w:val="20"/>
          <w:lang w:eastAsia="ru-RU"/>
        </w:rPr>
        <w:t xml:space="preserve">, </w:t>
      </w:r>
      <w:r>
        <w:rPr>
          <w:rFonts w:ascii="Times New Roman" w:hAnsi="Times New Roman" w:eastAsia="Times New Roman" w:cs="Times New Roman"/>
          <w:color w:val="000000"/>
          <w:sz w:val="28"/>
          <w:szCs w:val="20"/>
          <w:lang w:eastAsia="ru-RU"/>
        </w:rPr>
      </w:r>
    </w:p>
    <w:p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0"/>
          <w:lang w:eastAsia="ru-RU"/>
        </w:rPr>
        <w:t xml:space="preserve">выбрать предложение, которое наиболее </w:t>
      </w:r>
      <w:r>
        <w:rPr>
          <w:rFonts w:ascii="Times New Roman" w:hAnsi="Times New Roman" w:eastAsia="Times New Roman" w:cs="Times New Roman"/>
          <w:color w:val="000000"/>
          <w:sz w:val="28"/>
          <w:szCs w:val="20"/>
          <w:lang w:eastAsia="ru-RU"/>
        </w:rPr>
        <w:t xml:space="preserve">соответствует его пожеланиям,</w:t>
      </w:r>
      <w:r>
        <w:rPr>
          <w:rFonts w:ascii="Times New Roman" w:hAnsi="Times New Roman" w:eastAsia="Times New Roman" w:cs="Times New Roman"/>
          <w:color w:val="000000"/>
          <w:sz w:val="28"/>
          <w:szCs w:val="20"/>
          <w:lang w:eastAsia="ru-RU"/>
        </w:rPr>
      </w:r>
    </w:p>
    <w:p>
      <w:pPr>
        <w:shd w:val="clear" w:color="auto" w:fill="ffffff"/>
        <w:spacing w:after="12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0"/>
          <w:lang w:eastAsia="ru-RU"/>
        </w:rPr>
        <w:t xml:space="preserve">подать заявку на заключение договора о целевом обучении в соответствии с этим предложением. </w:t>
      </w:r>
      <w:r>
        <w:rPr>
          <w:rFonts w:ascii="Times New Roman" w:hAnsi="Times New Roman" w:eastAsia="Times New Roman" w:cs="Times New Roman"/>
          <w:color w:val="000000"/>
          <w:sz w:val="28"/>
          <w:szCs w:val="20"/>
          <w:lang w:eastAsia="ru-RU"/>
        </w:rPr>
      </w:r>
    </w:p>
    <w:p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i/>
          <w:color w:val="000000"/>
          <w:sz w:val="28"/>
          <w:szCs w:val="20"/>
          <w:lang w:eastAsia="ru-RU"/>
        </w:rPr>
      </w:pPr>
      <w:r>
        <w:rPr>
          <w:rFonts w:ascii="Times New Roman" w:hAnsi="Times New Roman" w:eastAsia="Times New Roman" w:cs="Times New Roman"/>
          <w:i/>
          <w:color w:val="000000"/>
          <w:sz w:val="28"/>
          <w:szCs w:val="20"/>
          <w:lang w:eastAsia="ru-RU"/>
        </w:rPr>
        <w:t xml:space="preserve">По программам бакалавриата и программам специалитета:</w:t>
      </w:r>
      <w:r>
        <w:rPr>
          <w:rFonts w:ascii="Times New Roman" w:hAnsi="Times New Roman" w:eastAsia="Times New Roman" w:cs="Times New Roman"/>
          <w:i/>
          <w:color w:val="000000"/>
          <w:sz w:val="28"/>
          <w:szCs w:val="20"/>
          <w:lang w:eastAsia="ru-RU"/>
        </w:rPr>
      </w:r>
    </w:p>
    <w:p>
      <w:pPr>
        <w:numPr>
          <w:numId w:val="1"/>
          <w:ilvl w:val="0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0"/>
          <w:lang w:eastAsia="ru-RU"/>
        </w:rPr>
        <w:t xml:space="preserve">если гражданин подает заявление о приеме на обучение посредством </w:t>
      </w:r>
      <w:hyperlink r:id="rId10" w:tooltip="https://www.gosuslugi.ru/vuzonline" w:history="1">
        <w:r>
          <w:rPr>
            <w:rFonts w:ascii="Times New Roman" w:hAnsi="Times New Roman" w:eastAsia="Times New Roman" w:cs="Times New Roman"/>
            <w:color w:val="0080ff"/>
            <w:sz w:val="28"/>
            <w:szCs w:val="20"/>
            <w:u w:val="single"/>
            <w:lang w:eastAsia="ru-RU"/>
          </w:rPr>
          <w:t xml:space="preserve">Единого портала государственных и муниципальных услуг (функций),</w:t>
        </w:r>
      </w:hyperlink>
      <w:r>
        <w:rPr>
          <w:rFonts w:ascii="Times New Roman" w:hAnsi="Times New Roman" w:eastAsia="Times New Roman" w:cs="Times New Roman"/>
          <w:color w:val="000000"/>
          <w:sz w:val="28"/>
          <w:szCs w:val="20"/>
          <w:lang w:eastAsia="ru-RU"/>
        </w:rPr>
        <w:t xml:space="preserve"> то при подаче заявления о приеме он сможет ознакомиться с предложениями заказчиков и подать заявку на заключение договора о целевом обучении посредством Единого портала;</w:t>
      </w:r>
      <w:r>
        <w:rPr>
          <w:rFonts w:ascii="Times New Roman" w:hAnsi="Times New Roman" w:eastAsia="Times New Roman" w:cs="Times New Roman"/>
          <w:color w:val="000000"/>
          <w:sz w:val="28"/>
          <w:szCs w:val="20"/>
          <w:lang w:eastAsia="ru-RU"/>
        </w:rPr>
      </w:r>
    </w:p>
    <w:p>
      <w:pPr>
        <w:numPr>
          <w:numId w:val="1"/>
          <w:ilvl w:val="0"/>
        </w:numPr>
        <w:shd w:val="clear" w:color="auto" w:fill="ffffff"/>
        <w:spacing w:after="120" w:line="240" w:lineRule="auto"/>
        <w:ind w:left="0"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0"/>
          <w:lang w:eastAsia="ru-RU"/>
        </w:rPr>
        <w:t xml:space="preserve">если гражданин подает заявление о приеме на обучение непосредственно в вуз (лично, по почте</w:t>
      </w:r>
      <w:r>
        <w:rPr>
          <w:rFonts w:ascii="Times New Roman" w:hAnsi="Times New Roman" w:eastAsia="Times New Roman" w:cs="Times New Roman"/>
          <w:color w:val="000000"/>
          <w:sz w:val="28"/>
          <w:szCs w:val="20"/>
          <w:lang w:eastAsia="ru-RU"/>
        </w:rPr>
        <w:t xml:space="preserve">, через информационную систему</w:t>
      </w:r>
      <w:r>
        <w:rPr>
          <w:rFonts w:ascii="Times New Roman" w:hAnsi="Times New Roman" w:eastAsia="Times New Roman" w:cs="Times New Roman"/>
          <w:color w:val="000000"/>
          <w:sz w:val="28"/>
          <w:szCs w:val="20"/>
          <w:lang w:eastAsia="ru-RU"/>
        </w:rPr>
        <w:t xml:space="preserve"> вуза), то он должен</w:t>
      </w:r>
      <w:r>
        <w:rPr>
          <w:rFonts w:ascii="Times New Roman" w:hAnsi="Times New Roman" w:eastAsia="Times New Roman" w:cs="Times New Roman"/>
          <w:color w:val="000000"/>
          <w:sz w:val="28"/>
          <w:szCs w:val="20"/>
          <w:lang w:eastAsia="ru-RU"/>
        </w:rPr>
        <w:t xml:space="preserve"> ознакомиться с предложениями заказчиков на Е</w:t>
      </w:r>
      <w:r>
        <w:rPr>
          <w:rFonts w:ascii="Times New Roman" w:hAnsi="Times New Roman" w:eastAsia="Times New Roman" w:cs="Times New Roman"/>
          <w:color w:val="000000"/>
          <w:sz w:val="28"/>
          <w:szCs w:val="20"/>
          <w:lang w:eastAsia="ru-RU"/>
        </w:rPr>
        <w:t xml:space="preserve">ЦП</w:t>
      </w:r>
      <w:r>
        <w:rPr>
          <w:rFonts w:ascii="Times New Roman" w:hAnsi="Times New Roman" w:eastAsia="Times New Roman" w:cs="Times New Roman"/>
          <w:color w:val="000000"/>
          <w:sz w:val="28"/>
          <w:szCs w:val="20"/>
          <w:lang w:eastAsia="ru-RU"/>
        </w:rPr>
        <w:t xml:space="preserve"> «Работа в России» и подать заявку на заключение договора о целевом обучении в вуз в период приема заявлен</w:t>
      </w:r>
      <w:r>
        <w:rPr>
          <w:rFonts w:ascii="Times New Roman" w:hAnsi="Times New Roman" w:eastAsia="Times New Roman" w:cs="Times New Roman"/>
          <w:color w:val="000000"/>
          <w:sz w:val="28"/>
          <w:szCs w:val="20"/>
          <w:lang w:eastAsia="ru-RU"/>
        </w:rPr>
        <w:t xml:space="preserve">ий о приеме на обучение (</w:t>
      </w:r>
      <w:r>
        <w:rPr>
          <w:rFonts w:ascii="Times New Roman" w:hAnsi="Times New Roman" w:eastAsia="Times New Roman" w:cs="Times New Roman"/>
          <w:color w:val="000000"/>
          <w:sz w:val="28"/>
          <w:szCs w:val="20"/>
          <w:lang w:eastAsia="ru-RU"/>
        </w:rPr>
        <w:t xml:space="preserve">с 20 июня до 25 июля</w:t>
      </w:r>
      <w:r>
        <w:rPr>
          <w:rFonts w:ascii="Times New Roman" w:hAnsi="Times New Roman" w:eastAsia="Times New Roman" w:cs="Times New Roman"/>
          <w:color w:val="000000"/>
          <w:sz w:val="28"/>
          <w:szCs w:val="20"/>
          <w:lang w:eastAsia="ru-RU"/>
        </w:rPr>
        <w:t xml:space="preserve">, </w:t>
      </w:r>
      <w:r>
        <w:rPr>
          <w:rFonts w:ascii="Times New Roman" w:hAnsi="Times New Roman" w:eastAsia="Times New Roman" w:cs="Times New Roman"/>
          <w:color w:val="000000"/>
          <w:sz w:val="28"/>
          <w:szCs w:val="20"/>
          <w:lang w:eastAsia="ru-RU"/>
        </w:rPr>
        <w:t xml:space="preserve">конкретный срок завершения приема</w:t>
      </w:r>
      <w:r>
        <w:rPr>
          <w:rFonts w:ascii="Times New Roman" w:hAnsi="Times New Roman" w:eastAsia="Times New Roman" w:cs="Times New Roman"/>
          <w:color w:val="000000"/>
          <w:sz w:val="28"/>
          <w:szCs w:val="20"/>
          <w:lang w:eastAsia="ru-RU"/>
        </w:rPr>
        <w:br/>
        <w:t xml:space="preserve">заявлений устанавливает вуз)</w:t>
      </w:r>
      <w:r>
        <w:rPr>
          <w:rFonts w:ascii="Times New Roman" w:hAnsi="Times New Roman" w:eastAsia="Times New Roman" w:cs="Times New Roman"/>
          <w:color w:val="000000"/>
          <w:sz w:val="28"/>
          <w:szCs w:val="20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color w:val="000000"/>
          <w:sz w:val="28"/>
          <w:szCs w:val="20"/>
          <w:lang w:eastAsia="ru-RU"/>
        </w:rPr>
      </w:r>
    </w:p>
    <w:p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i/>
          <w:color w:val="000000"/>
          <w:sz w:val="28"/>
          <w:szCs w:val="20"/>
          <w:lang w:eastAsia="ru-RU"/>
        </w:rPr>
      </w:pPr>
      <w:r>
        <w:rPr>
          <w:rFonts w:ascii="Times New Roman" w:hAnsi="Times New Roman" w:eastAsia="Times New Roman" w:cs="Times New Roman"/>
          <w:i/>
          <w:color w:val="000000"/>
          <w:sz w:val="28"/>
          <w:szCs w:val="20"/>
          <w:lang w:eastAsia="ru-RU"/>
        </w:rPr>
        <w:t xml:space="preserve">По программам магистратуры, аспирантуры, ординатуры, </w:t>
      </w:r>
      <w:r>
        <w:rPr>
          <w:rFonts w:ascii="Times New Roman" w:hAnsi="Times New Roman" w:eastAsia="Times New Roman" w:cs="Times New Roman"/>
          <w:i/>
          <w:color w:val="000000"/>
          <w:sz w:val="28"/>
          <w:szCs w:val="20"/>
          <w:lang w:eastAsia="ru-RU"/>
        </w:rPr>
        <w:t xml:space="preserve">ассистентуры</w:t>
      </w:r>
      <w:r>
        <w:rPr>
          <w:rFonts w:ascii="Times New Roman" w:hAnsi="Times New Roman" w:eastAsia="Times New Roman" w:cs="Times New Roman"/>
          <w:i/>
          <w:color w:val="000000"/>
          <w:sz w:val="28"/>
          <w:szCs w:val="20"/>
          <w:lang w:eastAsia="ru-RU"/>
        </w:rPr>
        <w:t xml:space="preserve">-стажировки: </w:t>
      </w:r>
      <w:r>
        <w:rPr>
          <w:rFonts w:ascii="Times New Roman" w:hAnsi="Times New Roman" w:eastAsia="Times New Roman" w:cs="Times New Roman"/>
          <w:i/>
          <w:color w:val="000000"/>
          <w:sz w:val="28"/>
          <w:szCs w:val="20"/>
          <w:lang w:eastAsia="ru-RU"/>
        </w:rPr>
      </w:r>
    </w:p>
    <w:p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0"/>
          <w:lang w:eastAsia="ru-RU"/>
        </w:rPr>
        <w:t xml:space="preserve">гражданин должен ознакомиться с предложениями заказчиков на </w:t>
      </w:r>
      <w:r>
        <w:rPr>
          <w:rFonts w:ascii="Times New Roman" w:hAnsi="Times New Roman" w:eastAsia="Times New Roman" w:cs="Times New Roman"/>
          <w:color w:val="000000"/>
          <w:sz w:val="28"/>
          <w:szCs w:val="20"/>
          <w:lang w:eastAsia="ru-RU"/>
        </w:rPr>
        <w:t xml:space="preserve">ЕЦП</w:t>
      </w:r>
      <w:r>
        <w:rPr>
          <w:rFonts w:ascii="Times New Roman" w:hAnsi="Times New Roman" w:eastAsia="Times New Roman" w:cs="Times New Roman"/>
          <w:color w:val="000000"/>
          <w:sz w:val="28"/>
          <w:szCs w:val="20"/>
          <w:lang w:eastAsia="ru-RU"/>
        </w:rPr>
        <w:t xml:space="preserve"> «Работа в России» и подать заявку на заключение договора о целевом обучении в вуз в сроки, установленные в этом вузе для приема заявлений о приеме на обучение.</w:t>
      </w:r>
      <w:r>
        <w:rPr>
          <w:rFonts w:ascii="Times New Roman" w:hAnsi="Times New Roman" w:eastAsia="Times New Roman" w:cs="Times New Roman"/>
          <w:color w:val="000000"/>
          <w:sz w:val="28"/>
          <w:szCs w:val="20"/>
          <w:lang w:eastAsia="ru-RU"/>
        </w:rPr>
      </w:r>
    </w:p>
    <w:sectPr>
      <w:footnotePr/>
      <w:endnotePr/>
      <w:type w:val="nextPage"/>
      <w:pgSz w:w="11906" w:h="16838" w:orient="portrait"/>
      <w:pgMar w:top="1134" w:right="851" w:bottom="737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space"/>
      <w:lvlText w:val=""/>
      <w:lvlJc w:val="left"/>
      <w:pPr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tabs>
          <w:tab w:val="num" w:pos="1440" w:leader="none"/>
        </w:tabs>
        <w:ind w:left="1440" w:hanging="360"/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tabs>
          <w:tab w:val="num" w:pos="2160" w:leader="none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tabs>
          <w:tab w:val="num" w:pos="2880" w:leader="none"/>
        </w:tabs>
        <w:ind w:left="2880" w:hanging="360"/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tabs>
          <w:tab w:val="num" w:pos="3600" w:leader="none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tabs>
          <w:tab w:val="num" w:pos="4320" w:leader="none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tabs>
          <w:tab w:val="num" w:pos="5040" w:leader="none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tabs>
          <w:tab w:val="num" w:pos="5760" w:leader="none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tabs>
          <w:tab w:val="num" w:pos="6480" w:leader="none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9"/>
    <w:next w:val="619"/>
    <w:link w:val="14"/>
    <w:uiPriority w:val="9"/>
    <w:qFormat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20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9"/>
    <w:next w:val="619"/>
    <w:link w:val="16"/>
    <w:uiPriority w:val="9"/>
    <w:unhideWhenUsed/>
    <w:qFormat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20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9"/>
    <w:next w:val="619"/>
    <w:link w:val="18"/>
    <w:uiPriority w:val="9"/>
    <w:unhideWhenUsed/>
    <w:qFormat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20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9"/>
    <w:next w:val="619"/>
    <w:link w:val="20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20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9"/>
    <w:next w:val="619"/>
    <w:link w:val="22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20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9"/>
    <w:next w:val="619"/>
    <w:link w:val="24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20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9"/>
    <w:next w:val="619"/>
    <w:link w:val="26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20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9"/>
    <w:next w:val="619"/>
    <w:link w:val="28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20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9"/>
    <w:next w:val="619"/>
    <w:link w:val="30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20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9"/>
    <w:uiPriority w:val="34"/>
    <w:qFormat/>
    <w:pPr>
      <w:ind w:left="720"/>
      <w:contextualSpacing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9"/>
    <w:next w:val="619"/>
    <w:link w:val="35"/>
    <w:uiPriority w:val="10"/>
    <w:qFormat/>
    <w:pPr>
      <w:spacing w:before="300" w:after="200"/>
      <w:contextualSpacing/>
    </w:pPr>
    <w:rPr>
      <w:sz w:val="48"/>
      <w:szCs w:val="48"/>
    </w:rPr>
  </w:style>
  <w:style w:type="character" w:styleId="35">
    <w:name w:val="Title Char"/>
    <w:basedOn w:val="620"/>
    <w:link w:val="34"/>
    <w:uiPriority w:val="10"/>
    <w:rPr>
      <w:sz w:val="48"/>
      <w:szCs w:val="48"/>
    </w:rPr>
  </w:style>
  <w:style w:type="paragraph" w:styleId="36">
    <w:name w:val="Subtitle"/>
    <w:basedOn w:val="619"/>
    <w:next w:val="619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20"/>
    <w:link w:val="36"/>
    <w:uiPriority w:val="11"/>
    <w:rPr>
      <w:sz w:val="24"/>
      <w:szCs w:val="24"/>
    </w:rPr>
  </w:style>
  <w:style w:type="paragraph" w:styleId="38">
    <w:name w:val="Quote"/>
    <w:basedOn w:val="619"/>
    <w:next w:val="619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9"/>
    <w:next w:val="619"/>
    <w:link w:val="41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9"/>
    <w:link w:val="43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43">
    <w:name w:val="Header Char"/>
    <w:basedOn w:val="620"/>
    <w:link w:val="42"/>
    <w:uiPriority w:val="99"/>
  </w:style>
  <w:style w:type="paragraph" w:styleId="44">
    <w:name w:val="Footer"/>
    <w:basedOn w:val="619"/>
    <w:link w:val="45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45">
    <w:name w:val="Footer Char"/>
    <w:basedOn w:val="620"/>
    <w:link w:val="44"/>
    <w:uiPriority w:val="99"/>
  </w:style>
  <w:style w:type="paragraph" w:styleId="46">
    <w:name w:val="Caption"/>
    <w:basedOn w:val="619"/>
    <w:next w:val="619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620"/>
    <w:link w:val="46"/>
    <w:uiPriority w:val="35"/>
    <w:rPr>
      <w:b/>
      <w:bCs/>
      <w:color w:val="4f81bd" w:themeColor="accent1"/>
      <w:sz w:val="18"/>
      <w:szCs w:val="18"/>
    </w:rPr>
  </w:style>
  <w:style w:type="table" w:styleId="48">
    <w:name w:val="Table Grid"/>
    <w:basedOn w:val="62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2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2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2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55">
    <w:name w:val="Grid Table 1 Light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3">
    <w:name w:val="Grid Table 2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4">
    <w:name w:val="Grid Table 2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5">
    <w:name w:val="Grid Table 2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6">
    <w:name w:val="Grid Table 2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">
    <w:name w:val="Grid Table 2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">
    <w:name w:val="Grid Table 2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">
    <w:name w:val="Grid Table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">
    <w:name w:val="Grid Table 3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">
    <w:name w:val="Grid Table 3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">
    <w:name w:val="Grid Table 3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">
    <w:name w:val="Grid Table 3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4">
    <w:name w:val="Grid Table 3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">
    <w:name w:val="Grid Table 3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">
    <w:name w:val="Grid Table 4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  <w:shd w:val="clear" w:color="ffffff" w:themeColor="accent1" w:themeTint="EA" w:fill="5d8dc2" w:themeFill="accent1" w:themeFillTint="E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  <w:shd w:val="clear" w:color="ffffff" w:themeColor="accent3" w:themeTint="FE" w:fill="9bba59" w:themeFill="accent3" w:themeFillTint="F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text1" w:fill="000000" w:themeFill="text1"/>
      </w:tcPr>
    </w:tblStylePr>
  </w:style>
  <w:style w:type="table" w:styleId="84">
    <w:name w:val="Grid Table 5 Dark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1" w:fill="4f81bd" w:themeFill="accent1"/>
      </w:tcPr>
    </w:tblStylePr>
  </w:style>
  <w:style w:type="table" w:styleId="85">
    <w:name w:val="Grid Table 5 Dark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2" w:fill="c0504d" w:themeFill="accent2"/>
      </w:tcPr>
    </w:tblStylePr>
  </w:style>
  <w:style w:type="table" w:styleId="86">
    <w:name w:val="Grid Table 5 Dark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3" w:fill="9bbb59" w:themeFill="accent3"/>
      </w:tcPr>
    </w:tblStylePr>
  </w:style>
  <w:style w:type="table" w:styleId="87">
    <w:name w:val="Grid Table 5 Dark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4" w:fill="8064a2" w:themeFill="accent4"/>
      </w:tcPr>
    </w:tblStylePr>
  </w:style>
  <w:style w:type="table" w:styleId="88">
    <w:name w:val="Grid Table 5 Dark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5" w:fill="4bacc6" w:themeFill="accent5"/>
      </w:tcPr>
    </w:tblStylePr>
  </w:style>
  <w:style w:type="table" w:styleId="89">
    <w:name w:val="Grid Table 5 Dark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6" w:fill="f79646" w:themeFill="accent6"/>
      </w:tcPr>
    </w:tblStylePr>
  </w:style>
  <w:style w:type="table" w:styleId="90">
    <w:name w:val="Grid Table 6 Colorful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text1" w:themeTint="80" w:sz="4" w:space="0"/>
        </w:tcBorders>
        <w:shd w:color="ffffff"/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none"/>
          <w:left w:val="none"/>
          <w:bottom w:val="single" w:color="000000" w:themeColor="text1" w:themeTint="80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/>
          <w:left w:val="single" w:color="000000" w:themeColor="text1" w:themeTint="80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98">
    <w:name w:val="Grid Table 7 Colorful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1" w:themeTint="80" w:sz="4" w:space="0"/>
        </w:tcBorders>
        <w:shd w:color="ffffff"/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none"/>
          <w:left w:val="none"/>
          <w:bottom w:val="single" w:color="000000" w:themeColor="accent1" w:themeTint="80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tcBorders>
          <w:top w:val="none"/>
          <w:left w:val="single" w:color="000000" w:themeColor="accent1" w:themeTint="80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single" w:color="000000" w:themeColor="accent1" w:themeTint="80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99">
    <w:name w:val="Grid Table 7 Colorful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2" w:themeTint="97" w:sz="4" w:space="0"/>
        </w:tcBorders>
        <w:shd w:color="ffffff"/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none"/>
          <w:left w:val="none"/>
          <w:bottom w:val="single" w:color="000000" w:themeColor="accent2" w:themeTint="97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/>
          <w:left w:val="single" w:color="000000" w:themeColor="accent2" w:themeTint="97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100">
    <w:name w:val="Grid Table 7 Colorful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3" w:themeTint="FE" w:sz="4" w:space="0"/>
        </w:tcBorders>
        <w:shd w:color="ffffff"/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none"/>
          <w:left w:val="none"/>
          <w:bottom w:val="single" w:color="000000" w:themeColor="accent3" w:themeTint="FE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tcBorders>
          <w:top w:val="none"/>
          <w:left w:val="single" w:color="000000" w:themeColor="accent3" w:themeTint="FE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single" w:color="000000" w:themeColor="accent3" w:themeTint="FE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101">
    <w:name w:val="Grid Table 7 Colorful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4" w:themeTint="9A" w:sz="4" w:space="0"/>
        </w:tcBorders>
        <w:shd w:color="ffffff"/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none"/>
          <w:left w:val="none"/>
          <w:bottom w:val="single" w:color="000000" w:themeColor="accent4" w:themeTint="9A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/>
          <w:left w:val="single" w:color="000000" w:themeColor="accent4" w:themeTint="9A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102">
    <w:name w:val="Grid Table 7 Colorful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5" w:themeTint="90" w:sz="4" w:space="0"/>
        </w:tcBorders>
        <w:shd w:color="ffffff"/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tcBorders>
          <w:top w:val="none"/>
          <w:left w:val="none"/>
          <w:bottom w:val="single" w:color="000000" w:themeColor="accent5" w:themeTint="90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tcBorders>
          <w:top w:val="none"/>
          <w:left w:val="single" w:color="000000" w:themeColor="accent5" w:themeTint="90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tcBorders>
          <w:top w:val="single" w:color="000000" w:themeColor="accent5" w:themeTint="90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103">
    <w:name w:val="Grid Table 7 Colorful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6" w:themeTint="90" w:sz="4" w:space="0"/>
        </w:tcBorders>
        <w:shd w:color="ffffff"/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tcBorders>
          <w:top w:val="none"/>
          <w:left w:val="none"/>
          <w:bottom w:val="single" w:color="000000" w:themeColor="accent6" w:themeTint="90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tcBorders>
          <w:top w:val="none"/>
          <w:left w:val="single" w:color="000000" w:themeColor="accent6" w:themeTint="90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tcBorders>
          <w:top w:val="single" w:color="000000" w:themeColor="accent6" w:themeTint="90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104">
    <w:name w:val="List Table 1 Light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text1" w:themeTint="80" w:sz="32" w:space="0"/>
          <w:bottom w:val="single" w:color="000000" w:themeColor="light1" w:sz="12" w:space="0"/>
        </w:tcBorders>
        <w:shd w:val="clear" w:color="ffffff" w:themeColor="text1" w:themeTint="80" w:fill="7f7f7f" w:themeFill="text1" w:themeFillTint="80"/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1" w:fill="4f81bd" w:themeFill="accent1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themeColor="accent1" w:fill="4f81bd" w:themeFill="accent1"/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2" w:themeTint="97" w:sz="32" w:space="0"/>
          <w:bottom w:val="single" w:color="000000" w:themeColor="light1" w:sz="12" w:space="0"/>
        </w:tcBorders>
        <w:shd w:val="clear" w:color="ffffff" w:themeColor="accent2" w:themeTint="97" w:fill="d99694" w:themeFill="accent2" w:themeFillTint="97"/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3" w:themeTint="98" w:sz="32" w:space="0"/>
          <w:bottom w:val="single" w:color="000000" w:themeColor="light1" w:sz="12" w:space="0"/>
        </w:tcBorders>
        <w:shd w:val="clear" w:color="ffffff" w:themeColor="accent3" w:themeTint="98" w:fill="c3d69b" w:themeFill="accent3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4" w:themeTint="9A" w:sz="32" w:space="0"/>
          <w:bottom w:val="single" w:color="000000" w:themeColor="light1" w:sz="12" w:space="0"/>
        </w:tcBorders>
        <w:shd w:val="clear" w:color="ffffff" w:themeColor="accent4" w:themeTint="9A" w:fill="b2a1c6" w:themeFill="accent4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5" w:themeTint="9A" w:sz="32" w:space="0"/>
          <w:bottom w:val="single" w:color="000000" w:themeColor="light1" w:sz="12" w:space="0"/>
        </w:tcBorders>
        <w:shd w:val="clear" w:color="ffffff" w:themeColor="accent5" w:themeTint="9A" w:fill="91cddc" w:themeFill="accent5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6" w:themeTint="98" w:sz="32" w:space="0"/>
          <w:bottom w:val="single" w:color="000000" w:themeColor="light1" w:sz="12" w:space="0"/>
        </w:tcBorders>
        <w:shd w:val="clear" w:color="ffffff" w:themeColor="accent6" w:themeTint="98" w:fill="f9bf90" w:themeFill="accent6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text1" w:themeTint="80" w:sz="4" w:space="0"/>
        </w:tcBorders>
        <w:shd w:color="ffffff"/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/>
          <w:left w:val="none"/>
          <w:bottom w:val="single" w:color="000000" w:themeColor="text1" w:themeTint="80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/>
          <w:left w:val="single" w:color="000000" w:themeColor="text1" w:themeTint="80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2" w:themeTint="97" w:sz="4" w:space="0"/>
        </w:tcBorders>
        <w:shd w:color="ffffff"/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/>
          <w:left w:val="none"/>
          <w:bottom w:val="single" w:color="000000" w:themeColor="accent2" w:themeTint="97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/>
          <w:left w:val="single" w:color="000000" w:themeColor="accent2" w:themeTint="97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3" w:themeTint="98" w:sz="4" w:space="0"/>
        </w:tcBorders>
        <w:shd w:color="ffffff"/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/>
          <w:left w:val="none"/>
          <w:bottom w:val="single" w:color="000000" w:themeColor="accent3" w:themeTint="98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/>
          <w:left w:val="single" w:color="000000" w:themeColor="accent3" w:themeTint="98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single" w:color="000000" w:themeColor="accent3" w:themeTint="98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4" w:themeTint="9A" w:sz="4" w:space="0"/>
        </w:tcBorders>
        <w:shd w:color="ffffff"/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/>
          <w:left w:val="none"/>
          <w:bottom w:val="single" w:color="000000" w:themeColor="accent4" w:themeTint="9A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/>
          <w:left w:val="single" w:color="000000" w:themeColor="accent4" w:themeTint="9A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5" w:themeTint="9A" w:sz="4" w:space="0"/>
        </w:tcBorders>
        <w:shd w:color="ffffff"/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/>
          <w:left w:val="none"/>
          <w:bottom w:val="single" w:color="000000" w:themeColor="accent5" w:themeTint="9A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/>
          <w:left w:val="single" w:color="000000" w:themeColor="accent5" w:themeTint="9A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single" w:color="000000" w:themeColor="accent5" w:themeTint="9A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6" w:themeTint="98" w:sz="4" w:space="0"/>
        </w:tcBorders>
        <w:shd w:color="ffffff"/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/>
          <w:left w:val="none"/>
          <w:bottom w:val="single" w:color="000000" w:themeColor="accent6" w:themeTint="98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/>
          <w:left w:val="single" w:color="000000" w:themeColor="accent6" w:themeTint="98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single" w:color="000000" w:themeColor="accent6" w:themeTint="98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9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20"/>
    <w:uiPriority w:val="99"/>
    <w:unhideWhenUsed/>
    <w:rPr>
      <w:vertAlign w:val="superscript"/>
    </w:rPr>
  </w:style>
  <w:style w:type="paragraph" w:styleId="178">
    <w:name w:val="endnote text"/>
    <w:basedOn w:val="619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20"/>
    <w:uiPriority w:val="99"/>
    <w:semiHidden/>
    <w:unhideWhenUsed/>
    <w:rPr>
      <w:vertAlign w:val="superscript"/>
    </w:rPr>
  </w:style>
  <w:style w:type="paragraph" w:styleId="181">
    <w:name w:val="toc 1"/>
    <w:basedOn w:val="619"/>
    <w:next w:val="619"/>
    <w:uiPriority w:val="39"/>
    <w:unhideWhenUsed/>
    <w:pPr>
      <w:spacing w:after="57"/>
      <w:ind w:left="0" w:right="0" w:firstLine="0"/>
    </w:pPr>
  </w:style>
  <w:style w:type="paragraph" w:styleId="182">
    <w:name w:val="toc 2"/>
    <w:basedOn w:val="619"/>
    <w:next w:val="619"/>
    <w:uiPriority w:val="39"/>
    <w:unhideWhenUsed/>
    <w:pPr>
      <w:spacing w:after="57"/>
      <w:ind w:left="283" w:right="0" w:firstLine="0"/>
    </w:pPr>
  </w:style>
  <w:style w:type="paragraph" w:styleId="183">
    <w:name w:val="toc 3"/>
    <w:basedOn w:val="619"/>
    <w:next w:val="619"/>
    <w:uiPriority w:val="39"/>
    <w:unhideWhenUsed/>
    <w:pPr>
      <w:spacing w:after="57"/>
      <w:ind w:left="567" w:right="0" w:firstLine="0"/>
    </w:pPr>
  </w:style>
  <w:style w:type="paragraph" w:styleId="184">
    <w:name w:val="toc 4"/>
    <w:basedOn w:val="619"/>
    <w:next w:val="619"/>
    <w:uiPriority w:val="39"/>
    <w:unhideWhenUsed/>
    <w:pPr>
      <w:spacing w:after="57"/>
      <w:ind w:left="850" w:right="0" w:firstLine="0"/>
    </w:pPr>
  </w:style>
  <w:style w:type="paragraph" w:styleId="185">
    <w:name w:val="toc 5"/>
    <w:basedOn w:val="619"/>
    <w:next w:val="619"/>
    <w:uiPriority w:val="39"/>
    <w:unhideWhenUsed/>
    <w:pPr>
      <w:spacing w:after="57"/>
      <w:ind w:left="1134" w:right="0" w:firstLine="0"/>
    </w:pPr>
  </w:style>
  <w:style w:type="paragraph" w:styleId="186">
    <w:name w:val="toc 6"/>
    <w:basedOn w:val="619"/>
    <w:next w:val="619"/>
    <w:uiPriority w:val="39"/>
    <w:unhideWhenUsed/>
    <w:pPr>
      <w:spacing w:after="57"/>
      <w:ind w:left="1417" w:right="0" w:firstLine="0"/>
    </w:pPr>
  </w:style>
  <w:style w:type="paragraph" w:styleId="187">
    <w:name w:val="toc 7"/>
    <w:basedOn w:val="619"/>
    <w:next w:val="619"/>
    <w:uiPriority w:val="39"/>
    <w:unhideWhenUsed/>
    <w:pPr>
      <w:spacing w:after="57"/>
      <w:ind w:left="1701" w:right="0" w:firstLine="0"/>
    </w:pPr>
  </w:style>
  <w:style w:type="paragraph" w:styleId="188">
    <w:name w:val="toc 8"/>
    <w:basedOn w:val="619"/>
    <w:next w:val="619"/>
    <w:uiPriority w:val="39"/>
    <w:unhideWhenUsed/>
    <w:pPr>
      <w:spacing w:after="57"/>
      <w:ind w:left="1984" w:right="0" w:firstLine="0"/>
    </w:pPr>
  </w:style>
  <w:style w:type="paragraph" w:styleId="189">
    <w:name w:val="toc 9"/>
    <w:basedOn w:val="619"/>
    <w:next w:val="619"/>
    <w:uiPriority w:val="39"/>
    <w:unhideWhenUsed/>
    <w:pPr>
      <w:spacing w:after="57"/>
      <w:ind w:left="2268" w:right="0" w:firstLine="0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9"/>
    <w:next w:val="619"/>
    <w:uiPriority w:val="99"/>
    <w:unhideWhenUsed/>
    <w:pPr>
      <w:spacing w:after="0" w:afterAutospacing="0"/>
    </w:pPr>
  </w:style>
  <w:style w:type="paragraph" w:styleId="619" w:default="1">
    <w:name w:val="Normal"/>
    <w:qFormat/>
  </w:style>
  <w:style w:type="character" w:styleId="620" w:default="1">
    <w:name w:val="Default Paragraph Font"/>
    <w:uiPriority w:val="1"/>
    <w:semiHidden/>
    <w:unhideWhenUsed/>
  </w:style>
  <w:style w:type="table" w:styleId="62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2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yperlink" Target="https://trudvsem.ru/" TargetMode="External"/><Relationship Id="rId10" Type="http://schemas.openxmlformats.org/officeDocument/2006/relationships/hyperlink" Target="https://www.gosuslugi.ru/vuzonline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Ponomarenko</dc:creator>
  <cp:lastModifiedBy>adse</cp:lastModifiedBy>
  <cp:revision>8</cp:revision>
  <dcterms:created xsi:type="dcterms:W3CDTF">2024-05-27T04:00:00Z</dcterms:created>
  <dcterms:modified xsi:type="dcterms:W3CDTF">2025-06-18T12:12:18Z</dcterms:modified>
</cp:coreProperties>
</file>